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渝退役军人局〔</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201</w:t>
      </w:r>
      <w:r>
        <w:rPr>
          <w:rFonts w:hint="default" w:ascii="Times New Roman" w:hAnsi="Times New Roman" w:eastAsia="方正仿宋_GBK" w:cs="Times New Roman"/>
          <w:i w:val="0"/>
          <w:iCs w:val="0"/>
          <w:caps w:val="0"/>
          <w:color w:val="333333"/>
          <w:spacing w:val="0"/>
          <w:sz w:val="24"/>
          <w:szCs w:val="24"/>
          <w:bdr w:val="none" w:color="auto" w:sz="0" w:space="0"/>
          <w:shd w:val="clear" w:fill="FFFFFF"/>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default" w:ascii="Times New Roman" w:hAnsi="Times New Roman" w:eastAsia="方正仿宋_GBK" w:cs="Times New Roman"/>
          <w:i w:val="0"/>
          <w:iCs w:val="0"/>
          <w:caps w:val="0"/>
          <w:color w:val="333333"/>
          <w:spacing w:val="0"/>
          <w:sz w:val="24"/>
          <w:szCs w:val="24"/>
          <w:bdr w:val="none" w:color="auto" w:sz="0" w:space="0"/>
          <w:shd w:val="clear" w:fill="FFFFFF"/>
        </w:rPr>
        <w:t>30</w:t>
      </w:r>
      <w:r>
        <w:rPr>
          <w:rFonts w:hint="eastAsia" w:ascii="微软雅黑" w:hAnsi="微软雅黑" w:eastAsia="微软雅黑" w:cs="微软雅黑"/>
          <w:i w:val="0"/>
          <w:iCs w:val="0"/>
          <w:caps w:val="0"/>
          <w:color w:val="333333"/>
          <w:spacing w:val="0"/>
          <w:sz w:val="24"/>
          <w:szCs w:val="24"/>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9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b w:val="0"/>
          <w:bCs w:val="0"/>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9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9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方正小标宋_GBK" w:hAnsi="方正小标宋_GBK" w:eastAsia="方正小标宋_GBK" w:cs="方正小标宋_GBK"/>
          <w:i w:val="0"/>
          <w:iCs w:val="0"/>
          <w:caps w:val="0"/>
          <w:color w:val="333333"/>
          <w:spacing w:val="0"/>
          <w:sz w:val="43"/>
          <w:szCs w:val="43"/>
          <w:bdr w:val="none" w:color="auto" w:sz="0" w:space="0"/>
          <w:shd w:val="clear" w:fill="FFFFFF"/>
        </w:rPr>
        <w:t>重庆市退役军人事务局  重庆市财政局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方正小标宋_GBK" w:hAnsi="方正小标宋_GBK" w:eastAsia="方正小标宋_GBK" w:cs="方正小标宋_GBK"/>
          <w:i w:val="0"/>
          <w:iCs w:val="0"/>
          <w:caps w:val="0"/>
          <w:color w:val="333333"/>
          <w:spacing w:val="0"/>
          <w:sz w:val="43"/>
          <w:szCs w:val="43"/>
          <w:bdr w:val="none" w:color="auto" w:sz="0" w:space="0"/>
          <w:shd w:val="clear" w:fill="FFFFFF"/>
        </w:rPr>
        <w:t>关于调整部分优抚对象抚恤和生活优待补助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方正小标宋_GBK" w:hAnsi="方正小标宋_GBK" w:eastAsia="方正小标宋_GBK" w:cs="方正小标宋_GBK"/>
          <w:i w:val="0"/>
          <w:iCs w:val="0"/>
          <w:caps w:val="0"/>
          <w:color w:val="333333"/>
          <w:spacing w:val="0"/>
          <w:sz w:val="43"/>
          <w:szCs w:val="43"/>
          <w:bdr w:val="none" w:color="auto" w:sz="0" w:space="0"/>
          <w:shd w:val="clear" w:fill="FFFFFF"/>
        </w:rPr>
        <w:t>标准的通知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各区县（自治县）退役军人事务局、财政局</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根据《退役军人事务部财政部关于调整部分优抚对象等人员抚恤和生活补助标准的通知》（退役军人部发〔</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2019</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42</w:t>
      </w:r>
      <w:r>
        <w:rPr>
          <w:rFonts w:hint="eastAsia" w:ascii="微软雅黑" w:hAnsi="微软雅黑" w:eastAsia="微软雅黑" w:cs="微软雅黑"/>
          <w:i w:val="0"/>
          <w:iCs w:val="0"/>
          <w:caps w:val="0"/>
          <w:color w:val="333333"/>
          <w:spacing w:val="0"/>
          <w:sz w:val="24"/>
          <w:szCs w:val="24"/>
          <w:bdr w:val="none" w:color="auto" w:sz="0" w:space="0"/>
          <w:shd w:val="clear" w:fill="FFFFFF"/>
        </w:rPr>
        <w:t>号</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和我市相关文件规定，现就调整我市部分优抚对象抚恤和生活优待补助标准有关问题通知如下：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一、调整抚恤和生活优待补助标准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（一）调整在乡退伍红军老战士（含在乡西路军红军老战士、红军失散人员）的生活补助标准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经调整，在乡退伍红军老战士、在乡西路军红军老战士、红军失散人员生活补助标准分别达到每人每年</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61898</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61898</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28348</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（二）调整残疾军人的残疾抚恤金、地方优待金标准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提高残疾军人（含伤残人民警察、伤残国家机关工作人员、伤残民兵民工）的残疾抚恤金标准。残疾军人的地方优待金按现行标准继续执行。调整后的标准详见附件。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（三）调整烈属（含因公牺牲军人遗属、病故军人遗属，以下简称</w:t>
      </w:r>
      <w:r>
        <w:rPr>
          <w:rFonts w:ascii="方正楷体_GBK" w:hAnsi="方正楷体_GBK" w:eastAsia="方正楷体_GBK" w:cs="方正楷体_GBK"/>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三属</w:t>
      </w: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）的定期抚恤金、地方优待金标准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提高</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三属</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定期抚恤金标准。烈属、因公牺牲军人遗属、病故军人遗属定期抚恤金标准每人每年分别达到</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27980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24040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22610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调整</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三属</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地方优待金标准。根据《重庆市民政局重庆市财政局关于调整建立</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三属</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地方优待补助金制度的通知》（渝民发〔</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2013</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163</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号）规定，按退役军人事务部、财政部</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2019</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年所确定的</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三属</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定期抚恤金标准同比增长</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的比例，同步调整我市</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2019</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年</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三属</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地方优待金标准。调整后，重庆解放前牺牲烈士的遗属地方优待金标准达到每人每月</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2384</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元（其中</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11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27</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烈士遗属地方优待金标准达到每人每月</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3312</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元），重庆解放后牺牲烈士的遗属地方优待金标准达到每人每月</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1592</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元；因公牺牲军人遗属地方优待金标准达到每人每月</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921</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元；病故军人遗属地方优待金标准达到每人每月</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615</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（四）调整在乡老复员军人的生活补助、地方优待金标准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提高在乡老复员军人生活补助标准。在乡老复员军人生活补助标准在现有基础上每人每月增加</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元，达到每人每月</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1255</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元。其中，在乡参加抗日战争老复员军人生活补助标准达到每人每月</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1297</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调整在乡老复员军人地方优待金标准。根据在乡老复员军人地方生活优待补助标准自然增长机制规定，按照重庆市统计局公布的</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2018</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年全市农村常住居民人均可支配收入</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13781</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元的</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85%</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执行，调整为每人每月</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976</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元；同时，各区县（自治县，以下简称区县）为在乡老复员军人每人每月给予的</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元补助继续执行。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（五）调整带病回乡退伍军人的生活补助、地方优待金标准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带病回乡退伍军人生活补助标准每人每月提高</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50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元，达到每人每月</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650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元。带病回乡退伍军人地方优待金标准按每人每月</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104</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元继续执行。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（六）调整在农村的和城镇无工作单位且家庭生活困难的参战退役人员（以下简称参战退役人员）的生活补助、地方优待金标准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参战退役人员生活补助标准每人每月提高</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50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元，达到每人每月</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650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元。参战退役人员地方优待金标准按每人每月</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100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元继续执行。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调整不符合评残和享受带病回乡退伍军人生活补助条件，但患病或生活困难的农村和城镇无工作单位的参加核试验军队退役人员（含参与铀矿开采军队退役人员，以下简称参试退役人员）的生活补助、地方优待金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参试退役人员生活补助标准每人每月提高</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50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元，达到每人每月</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650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元。参试退役人员地方优待金标准按每人每月</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100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元继续执行。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（八）调整居住在农村和城镇无工作单位、</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18</w:t>
      </w:r>
      <w:r>
        <w:rPr>
          <w:rFonts w:hint="eastAsia" w:ascii="方正楷体_GBK" w:hAnsi="方正楷体_GBK" w:eastAsia="方正楷体_GBK" w:cs="方正楷体_GBK"/>
          <w:i w:val="0"/>
          <w:iCs w:val="0"/>
          <w:caps w:val="0"/>
          <w:color w:val="333333"/>
          <w:spacing w:val="0"/>
          <w:sz w:val="24"/>
          <w:szCs w:val="24"/>
          <w:bdr w:val="none" w:color="auto" w:sz="0" w:space="0"/>
          <w:shd w:val="clear" w:fill="FFFFFF"/>
        </w:rPr>
        <w:t>周岁之前没有享受过定期抚恤金待遇且年满</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60</w:t>
      </w:r>
      <w:r>
        <w:rPr>
          <w:rFonts w:hint="eastAsia" w:ascii="方正楷体_GBK" w:hAnsi="方正楷体_GBK" w:eastAsia="方正楷体_GBK" w:cs="方正楷体_GBK"/>
          <w:i w:val="0"/>
          <w:iCs w:val="0"/>
          <w:caps w:val="0"/>
          <w:color w:val="333333"/>
          <w:spacing w:val="0"/>
          <w:sz w:val="24"/>
          <w:szCs w:val="24"/>
          <w:bdr w:val="none" w:color="auto" w:sz="0" w:space="0"/>
          <w:shd w:val="clear" w:fill="FFFFFF"/>
        </w:rPr>
        <w:t>周岁的烈士子女（含建国前错杀后被平反人员的子女，以下简称老年烈士子女）的生活补助、地方优待金标准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老年烈士子女生活补助标准每人每月提高</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50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元，达到每人每月</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490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老年烈士子女地方优待金标准，按本条第（三）项中烈属地方优待金的相关规定调整。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（九）调整从</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1954</w:t>
      </w:r>
      <w:r>
        <w:rPr>
          <w:rFonts w:hint="eastAsia" w:ascii="方正楷体_GBK" w:hAnsi="方正楷体_GBK" w:eastAsia="方正楷体_GBK" w:cs="方正楷体_GBK"/>
          <w:i w:val="0"/>
          <w:iCs w:val="0"/>
          <w:caps w:val="0"/>
          <w:color w:val="333333"/>
          <w:spacing w:val="0"/>
          <w:sz w:val="24"/>
          <w:szCs w:val="24"/>
          <w:bdr w:val="none" w:color="auto" w:sz="0" w:space="0"/>
          <w:shd w:val="clear" w:fill="FFFFFF"/>
        </w:rPr>
        <w:t>年</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11</w:t>
      </w:r>
      <w:r>
        <w:rPr>
          <w:rFonts w:hint="eastAsia" w:ascii="方正楷体_GBK" w:hAnsi="方正楷体_GBK" w:eastAsia="方正楷体_GBK" w:cs="方正楷体_GBK"/>
          <w:i w:val="0"/>
          <w:iCs w:val="0"/>
          <w:caps w:val="0"/>
          <w:color w:val="333333"/>
          <w:spacing w:val="0"/>
          <w:sz w:val="24"/>
          <w:szCs w:val="24"/>
          <w:bdr w:val="none" w:color="auto" w:sz="0" w:space="0"/>
          <w:shd w:val="clear" w:fill="FFFFFF"/>
        </w:rPr>
        <w:t>月</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w:t>
      </w:r>
      <w:r>
        <w:rPr>
          <w:rFonts w:hint="eastAsia" w:ascii="方正楷体_GBK" w:hAnsi="方正楷体_GBK" w:eastAsia="方正楷体_GBK" w:cs="方正楷体_GBK"/>
          <w:i w:val="0"/>
          <w:iCs w:val="0"/>
          <w:caps w:val="0"/>
          <w:color w:val="333333"/>
          <w:spacing w:val="0"/>
          <w:sz w:val="24"/>
          <w:szCs w:val="24"/>
          <w:bdr w:val="none" w:color="auto" w:sz="0" w:space="0"/>
          <w:shd w:val="clear" w:fill="FFFFFF"/>
        </w:rPr>
        <w:t>日试行义务兵役制后至《退役士兵安置条例》实施前入伍、年龄在</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60</w:t>
      </w:r>
      <w:r>
        <w:rPr>
          <w:rFonts w:hint="eastAsia" w:ascii="方正楷体_GBK" w:hAnsi="方正楷体_GBK" w:eastAsia="方正楷体_GBK" w:cs="方正楷体_GBK"/>
          <w:i w:val="0"/>
          <w:iCs w:val="0"/>
          <w:caps w:val="0"/>
          <w:color w:val="333333"/>
          <w:spacing w:val="0"/>
          <w:sz w:val="24"/>
          <w:szCs w:val="24"/>
          <w:bdr w:val="none" w:color="auto" w:sz="0" w:space="0"/>
          <w:shd w:val="clear" w:fill="FFFFFF"/>
        </w:rPr>
        <w:t>周岁以上（含</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60</w:t>
      </w:r>
      <w:r>
        <w:rPr>
          <w:rFonts w:hint="eastAsia" w:ascii="方正楷体_GBK" w:hAnsi="方正楷体_GBK" w:eastAsia="方正楷体_GBK" w:cs="方正楷体_GBK"/>
          <w:i w:val="0"/>
          <w:iCs w:val="0"/>
          <w:caps w:val="0"/>
          <w:color w:val="333333"/>
          <w:spacing w:val="0"/>
          <w:sz w:val="24"/>
          <w:szCs w:val="24"/>
          <w:bdr w:val="none" w:color="auto" w:sz="0" w:space="0"/>
          <w:shd w:val="clear" w:fill="FFFFFF"/>
        </w:rPr>
        <w:t>周岁）、未享受到国家定期抚恤补助的农村籍退役士兵的老年生活补助标准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老年生活补助标准按每服一年义务兵役每人每月提高</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5</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元，达到每服一年义务兵役每人每月补助</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40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二、执行时间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调整后的抚恤和生活优待补助标准从</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2019</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年</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8</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月</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市级抚恤和生活优待补助资金不足部分，由区县财政负担。各区县退役军人事务部门、财政部门要切实按照本通知要求，务必落实区县应安排资金，切实加强抚恤优待补助专项经费管理，保证及时、准确、足额地把抚恤优待补助金发放到优抚对象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附件：重庆市残疾军人（含伤残人民警察、伤残国家机关工作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人员、伤残民兵民工）残疾抚恤优待金标准表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1755"/>
        <w:rPr>
          <w:rFonts w:hint="eastAsia" w:ascii="微软雅黑" w:hAnsi="微软雅黑" w:eastAsia="微软雅黑" w:cs="微软雅黑"/>
          <w:i w:val="0"/>
          <w:iCs w:val="0"/>
          <w:caps w:val="0"/>
          <w:color w:val="333333"/>
          <w:spacing w:val="0"/>
          <w:sz w:val="24"/>
          <w:szCs w:val="24"/>
        </w:rPr>
      </w:pPr>
      <w:r>
        <w:rPr>
          <w:rFonts w:ascii="Calibri" w:hAnsi="Calibri" w:eastAsia="微软雅黑" w:cs="Calibri"/>
          <w:i w:val="0"/>
          <w:iCs w:val="0"/>
          <w:caps w:val="0"/>
          <w:color w:val="333333"/>
          <w:spacing w:val="0"/>
          <w:sz w:val="31"/>
          <w:szCs w:val="31"/>
          <w:bdr w:val="none" w:color="auto" w:sz="0" w:space="0"/>
          <w:shd w:val="clear" w:fill="FFFFFF"/>
        </w:rPr>
        <w:t> </w:t>
      </w:r>
      <w:r>
        <w:rPr>
          <w:rFonts w:ascii="仿宋_GB2312" w:hAnsi="微软雅黑" w:eastAsia="仿宋_GB2312" w:cs="仿宋_GB2312"/>
          <w:i w:val="0"/>
          <w:iCs w:val="0"/>
          <w:caps w:val="0"/>
          <w:color w:val="333333"/>
          <w:spacing w:val="0"/>
          <w:sz w:val="31"/>
          <w:szCs w:val="31"/>
          <w:bdr w:val="none" w:color="auto" w:sz="0" w:space="0"/>
          <w:shd w:val="clear" w:fill="FFFFFF"/>
        </w:rPr>
        <w:t>重庆市退役军人事务局</w:t>
      </w:r>
      <w:r>
        <w:rPr>
          <w:rFonts w:hint="default" w:ascii="Calibri" w:hAnsi="Calibri" w:eastAsia="微软雅黑" w:cs="Calibri"/>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r>
        <w:rPr>
          <w:rFonts w:hint="default" w:ascii="Calibri" w:hAnsi="Calibri" w:eastAsia="微软雅黑" w:cs="Calibri"/>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r>
        <w:rPr>
          <w:rFonts w:hint="default" w:ascii="Calibri" w:hAnsi="Calibri" w:eastAsia="微软雅黑" w:cs="Calibri"/>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r>
        <w:rPr>
          <w:rFonts w:hint="default" w:ascii="仿宋_GB2312" w:hAnsi="Calibri" w:eastAsia="仿宋_GB2312" w:cs="仿宋_GB2312"/>
          <w:i w:val="0"/>
          <w:iCs w:val="0"/>
          <w:caps w:val="0"/>
          <w:color w:val="333333"/>
          <w:spacing w:val="0"/>
          <w:sz w:val="31"/>
          <w:szCs w:val="31"/>
          <w:bdr w:val="none" w:color="auto" w:sz="0" w:space="0"/>
          <w:shd w:val="clear" w:fill="FFFFFF"/>
        </w:rPr>
        <w:t>重庆市财政局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960" w:firstLine="0"/>
        <w:jc w:val="righ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  </w:t>
      </w:r>
      <w:r>
        <w:rPr>
          <w:rFonts w:hint="eastAsia" w:ascii="微软雅黑" w:hAnsi="微软雅黑" w:eastAsia="微软雅黑" w:cs="微软雅黑"/>
          <w:b w:val="0"/>
          <w:bCs w:val="0"/>
          <w:i w:val="0"/>
          <w:iCs w:val="0"/>
          <w:caps w:val="0"/>
          <w:color w:val="333333"/>
          <w:spacing w:val="0"/>
          <w:sz w:val="28"/>
          <w:szCs w:val="28"/>
          <w:bdr w:val="none" w:color="auto" w:sz="0" w:space="0"/>
          <w:shd w:val="clear" w:fill="FFFFFF"/>
        </w:rPr>
        <w:t>  </w:t>
      </w:r>
      <w:r>
        <w:rPr>
          <w:rFonts w:hint="eastAsia" w:ascii="微软雅黑" w:hAnsi="微软雅黑" w:eastAsia="微软雅黑" w:cs="微软雅黑"/>
          <w:b w:val="0"/>
          <w:bCs w:val="0"/>
          <w:i w:val="0"/>
          <w:iCs w:val="0"/>
          <w:caps w:val="0"/>
          <w:color w:val="333333"/>
          <w:spacing w:val="0"/>
          <w:sz w:val="28"/>
          <w:szCs w:val="28"/>
          <w:bdr w:val="none" w:color="auto" w:sz="0" w:space="0"/>
          <w:shd w:val="clear" w:fill="FFFFFF"/>
          <w:lang w:val="en-US" w:eastAsia="zh-CN"/>
        </w:rPr>
        <w:t xml:space="preserve"> </w:t>
      </w: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2019年</w:t>
      </w: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8</w:t>
      </w: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月</w:t>
      </w: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8</w:t>
      </w: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Calibri" w:hAnsi="Calibri" w:eastAsia="微软雅黑" w:cs="Calibri"/>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0"/>
        <w:rPr>
          <w:rFonts w:hint="default" w:ascii="Calibri" w:hAnsi="Calibri" w:eastAsia="微软雅黑" w:cs="Calibri"/>
          <w:i w:val="0"/>
          <w:iCs w:val="0"/>
          <w:caps w:val="0"/>
          <w:color w:val="333333"/>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0"/>
        <w:rPr>
          <w:rFonts w:hint="default" w:ascii="Calibri" w:hAnsi="Calibri" w:eastAsia="微软雅黑" w:cs="Calibri"/>
          <w:i w:val="0"/>
          <w:iCs w:val="0"/>
          <w:caps w:val="0"/>
          <w:color w:val="333333"/>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0"/>
        <w:rPr>
          <w:rFonts w:hint="default" w:ascii="Calibri" w:hAnsi="Calibri" w:eastAsia="微软雅黑" w:cs="Calibri"/>
          <w:i w:val="0"/>
          <w:iCs w:val="0"/>
          <w:caps w:val="0"/>
          <w:color w:val="333333"/>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0"/>
        <w:rPr>
          <w:rFonts w:hint="default" w:ascii="Calibri" w:hAnsi="Calibri" w:eastAsia="微软雅黑" w:cs="Calibri"/>
          <w:i w:val="0"/>
          <w:iCs w:val="0"/>
          <w:caps w:val="0"/>
          <w:color w:val="333333"/>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0"/>
        <w:rPr>
          <w:rFonts w:hint="default" w:ascii="Calibri" w:hAnsi="Calibri" w:eastAsia="微软雅黑" w:cs="Calibri"/>
          <w:i w:val="0"/>
          <w:iCs w:val="0"/>
          <w:caps w:val="0"/>
          <w:color w:val="333333"/>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0"/>
        <w:rPr>
          <w:rFonts w:hint="default" w:ascii="Calibri" w:hAnsi="Calibri" w:eastAsia="微软雅黑" w:cs="Calibri"/>
          <w:i w:val="0"/>
          <w:iCs w:val="0"/>
          <w:caps w:val="0"/>
          <w:color w:val="333333"/>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0"/>
        <w:rPr>
          <w:rFonts w:hint="default" w:ascii="Calibri" w:hAnsi="Calibri" w:eastAsia="微软雅黑" w:cs="Calibri"/>
          <w:i w:val="0"/>
          <w:iCs w:val="0"/>
          <w:caps w:val="0"/>
          <w:color w:val="333333"/>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0"/>
        <w:rPr>
          <w:rFonts w:hint="default" w:ascii="Calibri" w:hAnsi="Calibri" w:eastAsia="微软雅黑" w:cs="Calibri"/>
          <w:i w:val="0"/>
          <w:iCs w:val="0"/>
          <w:caps w:val="0"/>
          <w:color w:val="333333"/>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0"/>
        <w:rPr>
          <w:rFonts w:hint="eastAsia" w:ascii="微软雅黑" w:hAnsi="微软雅黑" w:eastAsia="微软雅黑" w:cs="微软雅黑"/>
          <w:i w:val="0"/>
          <w:iCs w:val="0"/>
          <w:caps w:val="0"/>
          <w:color w:val="333333"/>
          <w:spacing w:val="0"/>
          <w:sz w:val="24"/>
          <w:szCs w:val="24"/>
        </w:rPr>
      </w:pPr>
      <w:bookmarkStart w:id="0" w:name="_GoBack"/>
      <w:bookmarkEnd w:id="0"/>
      <w:r>
        <w:rPr>
          <w:rFonts w:hint="default" w:ascii="Calibri" w:hAnsi="Calibri" w:eastAsia="微软雅黑" w:cs="Calibri"/>
          <w:i w:val="0"/>
          <w:iCs w:val="0"/>
          <w:caps w:val="0"/>
          <w:color w:val="333333"/>
          <w:spacing w:val="0"/>
          <w:sz w:val="31"/>
          <w:szCs w:val="31"/>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Calibri" w:hAnsi="Calibri" w:eastAsia="微软雅黑" w:cs="Calibri"/>
          <w:i w:val="0"/>
          <w:iCs w:val="0"/>
          <w:caps w:val="0"/>
          <w:color w:val="333333"/>
          <w:spacing w:val="0"/>
          <w:sz w:val="36"/>
          <w:szCs w:val="36"/>
          <w:bdr w:val="none" w:color="auto" w:sz="0" w:space="0"/>
          <w:shd w:val="clear" w:fill="FFFFFF"/>
        </w:rPr>
        <w:t>重庆市残疾军人（含伤残人民警察、伤残国家机关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Calibri" w:hAnsi="Calibri" w:eastAsia="微软雅黑" w:cs="Calibri"/>
          <w:i w:val="0"/>
          <w:iCs w:val="0"/>
          <w:caps w:val="0"/>
          <w:color w:val="333333"/>
          <w:spacing w:val="0"/>
          <w:sz w:val="36"/>
          <w:szCs w:val="36"/>
          <w:bdr w:val="none" w:color="auto" w:sz="0" w:space="0"/>
          <w:shd w:val="clear" w:fill="FFFFFF"/>
        </w:rPr>
        <w:t>工作人员、伤残民兵民工）残疾抚恤</w:t>
      </w:r>
      <w:r>
        <w:rPr>
          <w:rFonts w:hint="eastAsia" w:ascii="方正小标宋_GBK" w:hAnsi="方正小标宋_GBK" w:eastAsia="方正小标宋_GBK" w:cs="方正小标宋_GBK"/>
          <w:i w:val="0"/>
          <w:iCs w:val="0"/>
          <w:caps w:val="0"/>
          <w:color w:val="333333"/>
          <w:spacing w:val="0"/>
          <w:sz w:val="36"/>
          <w:szCs w:val="36"/>
          <w:bdr w:val="none" w:color="auto" w:sz="0" w:space="0"/>
          <w:shd w:val="clear" w:fill="FFFFFF"/>
        </w:rPr>
        <w:t>优待</w:t>
      </w:r>
      <w:r>
        <w:rPr>
          <w:rFonts w:hint="default" w:ascii="Calibri" w:hAnsi="Calibri" w:eastAsia="微软雅黑" w:cs="Calibri"/>
          <w:i w:val="0"/>
          <w:iCs w:val="0"/>
          <w:caps w:val="0"/>
          <w:color w:val="333333"/>
          <w:spacing w:val="0"/>
          <w:sz w:val="36"/>
          <w:szCs w:val="36"/>
          <w:bdr w:val="none" w:color="auto" w:sz="0" w:space="0"/>
          <w:shd w:val="clear" w:fill="FFFFFF"/>
        </w:rPr>
        <w:t>金标准表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（从</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2019</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年</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8</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月</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日起执行）                        单位：元</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年</w:t>
      </w:r>
    </w:p>
    <w:tbl>
      <w:tblPr>
        <w:tblW w:w="89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99"/>
        <w:gridCol w:w="1019"/>
        <w:gridCol w:w="2516"/>
        <w:gridCol w:w="2844"/>
        <w:gridCol w:w="1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0" w:hRule="atLeast"/>
        </w:trPr>
        <w:tc>
          <w:tcPr>
            <w:tcW w:w="1620" w:type="dxa"/>
            <w:gridSpan w:val="2"/>
            <w:vMerge w:val="restart"/>
            <w:tcBorders>
              <w:top w:val="single" w:color="auto" w:sz="6" w:space="0"/>
              <w:left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残疾等级</w:t>
            </w:r>
          </w:p>
        </w:tc>
        <w:tc>
          <w:tcPr>
            <w:tcW w:w="7350" w:type="dxa"/>
            <w:gridSpan w:val="3"/>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残疾抚恤优待金标准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620" w:type="dxa"/>
            <w:gridSpan w:val="2"/>
            <w:vMerge w:val="continue"/>
            <w:tcBorders>
              <w:top w:val="single" w:color="auto" w:sz="6" w:space="0"/>
              <w:left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残疾抚恤金标准</w:t>
            </w:r>
          </w:p>
        </w:tc>
        <w:tc>
          <w:tcPr>
            <w:tcW w:w="285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地方优待金标准</w:t>
            </w:r>
          </w:p>
        </w:tc>
        <w:tc>
          <w:tcPr>
            <w:tcW w:w="199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合  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5" w:hRule="atLeast"/>
        </w:trPr>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一级</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因战</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88150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3360</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91510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因公</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85370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3292</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88662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因病</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82570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3223</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85793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 w:hRule="atLeast"/>
        </w:trPr>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二级</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因战</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79770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3155</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82925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0" w:hRule="atLeast"/>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因公</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75580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3052</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78632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 w:hRule="atLeast"/>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因病</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72750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2983</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75733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5" w:hRule="atLeast"/>
        </w:trPr>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三级</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因战</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70000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2915</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72915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0" w:hRule="atLeast"/>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因公</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65780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2812</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68592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 w:hRule="atLeast"/>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因病</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61610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2710</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64320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 w:hRule="atLeast"/>
        </w:trPr>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四级</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因战</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57370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2606</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59976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5" w:hRule="atLeast"/>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因公</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51790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2469</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54259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5" w:hRule="atLeast"/>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因病</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47590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2366</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49956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5" w:hRule="atLeast"/>
        </w:trPr>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五级</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因战</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44810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1606</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46416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 w:hRule="atLeast"/>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因公</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39180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1555</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40735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0" w:hRule="atLeast"/>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因病</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36390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1529</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37919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0" w:hRule="atLeast"/>
        </w:trPr>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六级</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因战</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35010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1517</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36527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 w:hRule="atLeast"/>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因公</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33130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1500</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34630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5" w:hRule="atLeast"/>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因病</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27980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1453</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29433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 w:hRule="atLeast"/>
        </w:trPr>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七级</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因战</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26610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1430</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28040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5" w:hRule="atLeast"/>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因公</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23820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1406</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25226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0" w:hRule="atLeast"/>
        </w:trPr>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八级</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因战</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16800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1345</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18145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0" w:hRule="atLeast"/>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因公</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15380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1333</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16713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 w:hRule="atLeast"/>
        </w:trPr>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九级</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因战</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13950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1285</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15235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 w:hRule="atLeast"/>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因公</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11210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1268</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12478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5" w:hRule="atLeast"/>
        </w:trPr>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十级</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因战</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9800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1260</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11060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5" w:hRule="atLeast"/>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因公</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8380</w:t>
            </w:r>
          </w:p>
        </w:tc>
        <w:tc>
          <w:tcPr>
            <w:tcW w:w="28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bdr w:val="none" w:color="auto" w:sz="0" w:space="0"/>
              </w:rPr>
              <w:t>1200</w:t>
            </w:r>
          </w:p>
        </w:tc>
        <w:tc>
          <w:tcPr>
            <w:tcW w:w="1995" w:type="dxa"/>
            <w:tcBorders>
              <w:top w:val="nil"/>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bdr w:val="none" w:color="auto" w:sz="0" w:space="0"/>
              </w:rPr>
              <w:t>9580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5" w:lineRule="atLeast"/>
        <w:ind w:left="840" w:right="0" w:firstLine="0"/>
        <w:jc w:val="left"/>
        <w:rPr>
          <w:rFonts w:hint="eastAsia"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5" w:lineRule="atLeast"/>
        <w:ind w:left="84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8"/>
          <w:szCs w:val="28"/>
          <w:bdr w:val="none" w:color="auto" w:sz="0" w:space="0"/>
          <w:shd w:val="clear" w:fill="FFFFFF"/>
        </w:rPr>
        <w:t>【说明】：伤残人民警察、伤残国家机关工作人员按残疾抚恤金标准执行。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SimSun-ExtB">
    <w:panose1 w:val="02010609060101010101"/>
    <w:charset w:val="86"/>
    <w:family w:val="auto"/>
    <w:pitch w:val="default"/>
    <w:sig w:usb0="00000001" w:usb1="02000000" w:usb2="00000000" w:usb3="00000000" w:csb0="00040001" w:csb1="00000000"/>
  </w:font>
  <w:font w:name="Yu Gothic UI Semibold">
    <w:panose1 w:val="020B0700000000000000"/>
    <w:charset w:val="80"/>
    <w:family w:val="auto"/>
    <w:pitch w:val="default"/>
    <w:sig w:usb0="E00002FF" w:usb1="2AC7FDFF" w:usb2="00000016" w:usb3="00000000" w:csb0="2002009F" w:csb1="00000000"/>
  </w:font>
  <w:font w:name="Bahnschrift">
    <w:panose1 w:val="020B0502040204020203"/>
    <w:charset w:val="00"/>
    <w:family w:val="auto"/>
    <w:pitch w:val="default"/>
    <w:sig w:usb0="800002C7" w:usb1="00000002" w:usb2="00000000" w:usb3="00000000" w:csb0="2000019F" w:csb1="00000000"/>
  </w:font>
  <w:font w:name="Bahnschrift Light SemiCondensed">
    <w:panose1 w:val="020B0502040204020203"/>
    <w:charset w:val="00"/>
    <w:family w:val="auto"/>
    <w:pitch w:val="default"/>
    <w:sig w:usb0="800002C7" w:usb1="00000002" w:usb2="00000000" w:usb3="00000000" w:csb0="2000019F" w:csb1="00000000"/>
  </w:font>
  <w:font w:name="Bahnschrift SemiCondensed">
    <w:panose1 w:val="020B0502040204020203"/>
    <w:charset w:val="00"/>
    <w:family w:val="auto"/>
    <w:pitch w:val="default"/>
    <w:sig w:usb0="800002C7" w:usb1="00000002" w:usb2="00000000" w:usb3="00000000" w:csb0="2000019F" w:csb1="00000000"/>
  </w:font>
  <w:font w:name="Candara">
    <w:panose1 w:val="020E0502030303020204"/>
    <w:charset w:val="00"/>
    <w:family w:val="auto"/>
    <w:pitch w:val="default"/>
    <w:sig w:usb0="A00002EF" w:usb1="4000A44B" w:usb2="00000000" w:usb3="00000000" w:csb0="2000019F" w:csb1="00000000"/>
  </w:font>
  <w:font w:name="Constantia">
    <w:panose1 w:val="02030602050306030303"/>
    <w:charset w:val="00"/>
    <w:family w:val="auto"/>
    <w:pitch w:val="default"/>
    <w:sig w:usb0="A00002EF" w:usb1="4000204B" w:usb2="00000000" w:usb3="00000000" w:csb0="2000019F" w:csb1="00000000"/>
  </w:font>
  <w:font w:name="Gabriola">
    <w:panose1 w:val="04040605051002020D02"/>
    <w:charset w:val="00"/>
    <w:family w:val="auto"/>
    <w:pitch w:val="default"/>
    <w:sig w:usb0="E00002EF" w:usb1="5000204B" w:usb2="00000000" w:usb3="00000000" w:csb0="2000009F" w:csb1="00000000"/>
  </w:font>
  <w:font w:name="Impact">
    <w:panose1 w:val="020B0806030902050204"/>
    <w:charset w:val="00"/>
    <w:family w:val="auto"/>
    <w:pitch w:val="default"/>
    <w:sig w:usb0="00000287" w:usb1="00000000" w:usb2="00000000" w:usb3="00000000" w:csb0="2000009F" w:csb1="DFD70000"/>
  </w:font>
  <w:font w:name="Leelawadee UI Semilight">
    <w:panose1 w:val="020B0402040204020203"/>
    <w:charset w:val="00"/>
    <w:family w:val="auto"/>
    <w:pitch w:val="default"/>
    <w:sig w:usb0="83000003" w:usb1="00000000" w:usb2="00010000" w:usb3="00000001" w:csb0="000101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YmFkYmYyOTM5YjUzYzc3OTRkYTQwMGM0OGI4NWMifQ=="/>
  </w:docVars>
  <w:rsids>
    <w:rsidRoot w:val="089166FD"/>
    <w:rsid w:val="08916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2022-06-20T09:42:00Z</dcterms:created>
  <dc:creator>落花时节与君逢</dc:creator>
  <cp:lastModifiedBy>落花时节与君逢</cp:lastModifiedBy>
  <dcterms:modified xsi:type="dcterms:W3CDTF">2022-06-20T09:51:39Z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BF0D15915E0F4A43B18F0E33BC55C93F</vt:lpwstr>
  </property>
</Properties>
</file>