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-692150</wp:posOffset>
                </wp:positionV>
                <wp:extent cx="3274060" cy="303530"/>
                <wp:effectExtent l="0" t="0" r="2540" b="12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9010" y="552450"/>
                          <a:ext cx="3274060" cy="30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default" w:ascii="Times New Roman" w:hAnsi="Times New Roman" w:eastAsia="方正仿宋_GBK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95pt;margin-top:-54.5pt;height:23.9pt;width:257.8pt;z-index:251659264;mso-width-relative:page;mso-height-relative:page;" fillcolor="#FFFFFF [3201]" filled="t" stroked="f" coordsize="21600,21600" o:gfxdata="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7jQydYAAAAL&#10;AQAADwAAAAAAAAABACAAAAAiAAAAZHJzL2Rvd25yZXYueG1sUEsBAhQAFAAAAAgAh07iQBkrtDpX&#10;AgAAmQ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default" w:ascii="Times New Roman" w:hAnsi="Times New Roman" w:eastAsia="方正仿宋_GBK" w:cs="Times New Roman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commentReference w:id="0"/>
      </w:r>
      <w:commentRangeStart w:id="1"/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  <w:commentRangeEnd w:id="1"/>
      <w:r>
        <w:commentReference w:id="1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0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0"/>
          <w:w w:val="100"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0"/>
          <w:w w:val="100"/>
          <w:sz w:val="44"/>
          <w:szCs w:val="44"/>
          <w:lang w:eastAsia="zh-CN"/>
        </w:rPr>
        <w:t>退役军人事务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0"/>
          <w:w w:val="100"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" w:eastAsia="zh-CN"/>
        </w:rPr>
        <w:t>关于印发《重庆市退役军人事务系统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" w:eastAsia="zh-CN"/>
        </w:rPr>
        <w:t>行政处罚裁量权基准》的通知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退役军人局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号</w:t>
      </w:r>
      <w:r>
        <w:commentReference w:id="2"/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commentReference w:id="3"/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各区县（自治县）、两江新区、西部科学城重庆高新区、万盛经开区退役军人事务局：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《重庆市退役军人事务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系统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行政处罚裁量权基准》印发你们，请抓好贯彻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/>
        </w:rPr>
        <w:t>执行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2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commentReference w:id="4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重庆市退役军人事务局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280" w:firstLineChars="4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 xml:space="preserve">                        20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bidi w:val="0"/>
        <w:spacing w:line="600" w:lineRule="atLeas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  <w:sectPr>
          <w:headerReference r:id="rId5" w:type="default"/>
          <w:footerReference r:id="rId6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" w:eastAsia="zh-CN"/>
        </w:rPr>
        <w:t>重庆市退役军人事务系统行政处罚裁量权基准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106"/>
        <w:gridCol w:w="1203"/>
        <w:gridCol w:w="2790"/>
        <w:gridCol w:w="1133"/>
        <w:gridCol w:w="3776"/>
        <w:gridCol w:w="2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tblHeader/>
          <w:jc w:val="center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行为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依据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裁量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阶次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适用条件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具体标准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负有军人优待义务的单位不履行军人优待义务的</w:t>
            </w:r>
          </w:p>
        </w:tc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《军人抚恤优待条例》第五条第二款、第四十八条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《军人抚恤优待条例》第四十八条：“负有军人优待义务的单位不履行优待义务的，由县级人民政府退役军人事务部门责令限期履行义务；逾期仍未履行的，处以2000元以上1万元以下罚款。对直接负责的主管人员和其他直接责任人员依法给予行政处分、纪律处分。因不履行优待义务使抚恤优待对象受到损失的，应当依法承担赔偿责任。”           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处罚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Style w:val="12"/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1．</w:t>
            </w:r>
            <w:r>
              <w:rPr>
                <w:rStyle w:val="14"/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首次违法且未对抚恤优待对象造成危害后果，并及时纠正违法行为的；</w:t>
            </w:r>
            <w:r>
              <w:rPr>
                <w:rStyle w:val="14"/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2"/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2．</w:t>
            </w:r>
            <w:r>
              <w:rPr>
                <w:rStyle w:val="14"/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在30日责令期限内履行义务的。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不予处罚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减轻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处罚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经责令限期履行义务，限期届满后，</w:t>
            </w:r>
            <w:r>
              <w:rPr>
                <w:rStyle w:val="12"/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30</w:t>
            </w:r>
            <w:r>
              <w:rPr>
                <w:rStyle w:val="14"/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日内履行义务且主动消除违法行为危害后果的。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处以2000元以下的罚款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（不含本数）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处罚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经责令限期履行义务，限期届满后，</w:t>
            </w:r>
            <w:r>
              <w:rPr>
                <w:rStyle w:val="12"/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30</w:t>
            </w:r>
            <w:r>
              <w:rPr>
                <w:rStyle w:val="14"/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日内履行义务的。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处以2000元以上，4400元以下的罚款（均含本数）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处罚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经责令限期履行义务，限期届满后，</w:t>
            </w:r>
            <w:r>
              <w:rPr>
                <w:rStyle w:val="12"/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60</w:t>
            </w:r>
            <w:r>
              <w:rPr>
                <w:rStyle w:val="14"/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日内履行义务的。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处以4400元以上，7600元以下的罚款（均不含本数）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处罚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1．经责令限期履行义务，限期届满后，60日内仍未履行义务的；妨碍、逃避、抗拒检查或者销毁、伪造证据，态度恶劣、拒不改正的；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2．因违法受到行政处罚后2年内再次实施同种违法行为的。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处以7600元以上，10000元以下的罚款（均含本数）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负有烈士遗属优待义务的单位不履行烈士遗属优待义务的</w:t>
            </w:r>
          </w:p>
        </w:tc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《烈士褒扬条例》第二十二条、第三十八条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《烈士褒扬条例》第三十八条：“负有烈士遗属优待义务的单位不履行优待义务的，由县级人民政府退役军人事务部门责令限期改正；逾期不改正的，处2000元以上1万元以下的罚款；属于国有或者国有控股企业、财政拨款的事业单位的，对直接负责的主管人员和其他直接责任人员依法给予处分。”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处罚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1．首次违法且未对抚恤优待对象造成危害后果，并及时纠正违法行为的；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2．在30日责令期限内履行义务的。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不予处罚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减轻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处罚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经责令限期履行义务，限期届满后，30日内履行义务且主动消除违法行为危害后果的。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处以2000元以下的罚款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（不含本数）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处罚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经责令限期履行义务，限期届满后，30日内履行义务的。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处以2000元以上，4400元以下的罚款（均含本数）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处罚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经责令限期履行义务，限期届满后，60日内履行义务的。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处以4400元以上，7600元以下的罚款（均不含本数）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处罚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1．经责令限期履行义务，限期届满后，60日内仍未履行义务的；妨碍、逃避、抗拒检查或者销毁、伪造证据，态度恶劣、拒不改正的；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2．因违法受到行政处罚后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年内再次实施同种违法行为的。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处以7600元以上，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10000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元以下的罚款（均含本数）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  <w:bookmarkStart w:id="0" w:name="_GoBack"/>
      <w:bookmarkEnd w:id="0"/>
    </w:p>
    <w:sectPr>
      <w:headerReference r:id="rId7" w:type="default"/>
      <w:footerReference r:id="rId8" w:type="default"/>
      <w:pgSz w:w="16838" w:h="11906" w:orient="landscape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编辑 [2]" w:date="2022-06-07T09:57:41Z" w:initials="">
    <w:p w14:paraId="44DF6C36">
      <w:pPr>
        <w:pStyle w:val="4"/>
        <w:rPr>
          <w:rFonts w:hint="eastAsia"/>
          <w:color w:val="C00000"/>
          <w:lang w:val="en-US" w:eastAsia="zh-Hans"/>
        </w:rPr>
      </w:pPr>
      <w:r>
        <w:rPr>
          <w:rFonts w:hint="eastAsia"/>
          <w:color w:val="C00000"/>
          <w:lang w:val="en-US" w:eastAsia="zh-Hans"/>
        </w:rPr>
        <w:t>注</w:t>
      </w:r>
      <w:r>
        <w:rPr>
          <w:rFonts w:hint="default"/>
          <w:color w:val="C00000"/>
          <w:lang w:eastAsia="zh-Hans"/>
        </w:rPr>
        <w:t>：</w:t>
      </w:r>
      <w:r>
        <w:rPr>
          <w:rFonts w:hint="eastAsia"/>
          <w:color w:val="C00000"/>
          <w:lang w:val="en-US" w:eastAsia="zh-Hans"/>
        </w:rPr>
        <w:t>全文批注页边距</w:t>
      </w:r>
    </w:p>
    <w:p w14:paraId="7DFE7F73">
      <w:pPr>
        <w:pStyle w:val="4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上</w:t>
      </w:r>
      <w:r>
        <w:rPr>
          <w:rFonts w:hint="default"/>
          <w:lang w:eastAsia="zh-Hans"/>
        </w:rPr>
        <w:t>：34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6</w:t>
      </w:r>
      <w:r>
        <w:rPr>
          <w:rFonts w:hint="eastAsia"/>
          <w:lang w:val="en-US" w:eastAsia="zh-Hans"/>
        </w:rPr>
        <w:t>毫米</w:t>
      </w:r>
      <w:r>
        <w:rPr>
          <w:rFonts w:hint="default"/>
          <w:lang w:eastAsia="zh-Hans"/>
        </w:rPr>
        <w:t xml:space="preserve">        </w:t>
      </w:r>
      <w:r>
        <w:rPr>
          <w:rFonts w:hint="eastAsia"/>
          <w:lang w:val="en-US" w:eastAsia="zh-Hans"/>
        </w:rPr>
        <w:t>下</w:t>
      </w:r>
      <w:r>
        <w:rPr>
          <w:rFonts w:hint="default"/>
          <w:lang w:eastAsia="zh-Hans"/>
        </w:rPr>
        <w:t>：32</w:t>
      </w:r>
      <w:r>
        <w:rPr>
          <w:rFonts w:hint="eastAsia"/>
          <w:lang w:val="en-US" w:eastAsia="zh-Hans"/>
        </w:rPr>
        <w:t>.</w:t>
      </w:r>
      <w:r>
        <w:rPr>
          <w:rFonts w:hint="default"/>
          <w:lang w:eastAsia="zh-Hans"/>
        </w:rPr>
        <w:t>6</w:t>
      </w:r>
      <w:r>
        <w:rPr>
          <w:rFonts w:hint="eastAsia"/>
          <w:lang w:val="en-US" w:eastAsia="zh-Hans"/>
        </w:rPr>
        <w:t>毫米</w:t>
      </w:r>
    </w:p>
    <w:p w14:paraId="09D143BC">
      <w:pPr>
        <w:pStyle w:val="4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左</w:t>
      </w:r>
      <w:r>
        <w:rPr>
          <w:rFonts w:hint="default"/>
          <w:lang w:eastAsia="zh-Hans"/>
        </w:rPr>
        <w:t>：28</w:t>
      </w:r>
      <w:r>
        <w:rPr>
          <w:rFonts w:hint="eastAsia"/>
          <w:lang w:val="en-US" w:eastAsia="zh-Hans"/>
        </w:rPr>
        <w:t>毫米</w:t>
      </w:r>
      <w:r>
        <w:rPr>
          <w:rFonts w:hint="default"/>
          <w:lang w:eastAsia="zh-Hans"/>
        </w:rPr>
        <w:t xml:space="preserve">          </w:t>
      </w:r>
      <w:r>
        <w:rPr>
          <w:rFonts w:hint="eastAsia"/>
          <w:lang w:val="en-US" w:eastAsia="zh-Hans"/>
        </w:rPr>
        <w:t>下</w:t>
      </w:r>
      <w:r>
        <w:rPr>
          <w:rFonts w:hint="default"/>
          <w:lang w:eastAsia="zh-Hans"/>
        </w:rPr>
        <w:t>：26</w:t>
      </w:r>
      <w:r>
        <w:rPr>
          <w:rFonts w:hint="eastAsia"/>
          <w:lang w:val="en-US" w:eastAsia="zh-Hans"/>
        </w:rPr>
        <w:t>毫米</w:t>
      </w:r>
    </w:p>
    <w:p w14:paraId="5E781F54">
      <w:pPr>
        <w:pStyle w:val="4"/>
      </w:pPr>
      <w:r>
        <w:rPr>
          <w:rFonts w:hint="eastAsia"/>
          <w:lang w:val="en-US" w:eastAsia="zh-CN"/>
        </w:rPr>
        <w:t>标题行距固定值：27；正文</w:t>
      </w:r>
      <w:r>
        <w:rPr>
          <w:rFonts w:hint="eastAsia"/>
          <w:lang w:val="en-US" w:eastAsia="zh-Hans"/>
        </w:rPr>
        <w:t>行间距固定值</w:t>
      </w:r>
      <w:r>
        <w:rPr>
          <w:rFonts w:hint="default"/>
          <w:lang w:eastAsia="zh-Hans"/>
        </w:rPr>
        <w:t>：30</w:t>
      </w:r>
    </w:p>
  </w:comment>
  <w:comment w:id="1" w:author="编辑 [2]" w:date="2022-06-07T09:37:22Z" w:initials="">
    <w:p w14:paraId="3AF33D35">
      <w:pPr>
        <w:pStyle w:val="4"/>
      </w:pPr>
      <w:r>
        <w:rPr>
          <w:rFonts w:hint="eastAsia"/>
          <w:lang w:val="en-US" w:eastAsia="zh-Hans"/>
        </w:rPr>
        <w:t>空两格</w:t>
      </w:r>
    </w:p>
  </w:comment>
  <w:comment w:id="2" w:author="编辑 [2]" w:date="2022-06-07T09:24:31Z" w:initials="">
    <w:p w14:paraId="4D46688A">
      <w:pPr>
        <w:pStyle w:val="4"/>
        <w:rPr>
          <w:rFonts w:hint="eastAsia"/>
          <w:lang w:val="en-US" w:eastAsia="zh-Hans"/>
        </w:rPr>
      </w:pPr>
      <w:r>
        <w:rPr>
          <w:rFonts w:hint="eastAsia"/>
        </w:rPr>
        <w:t>字体：</w:t>
      </w:r>
      <w:r>
        <w:rPr>
          <w:rFonts w:hint="eastAsia"/>
          <w:lang w:val="en-US" w:eastAsia="zh-Hans"/>
        </w:rPr>
        <w:t>方正仿宋</w:t>
      </w:r>
      <w:r>
        <w:rPr>
          <w:rFonts w:hint="default"/>
          <w:lang w:eastAsia="zh-Hans"/>
        </w:rPr>
        <w:t>_</w:t>
      </w:r>
      <w:r>
        <w:rPr>
          <w:rFonts w:hint="eastAsia"/>
          <w:lang w:val="en-US" w:eastAsia="zh-Hans"/>
        </w:rPr>
        <w:t>gbk</w:t>
      </w:r>
      <w:r>
        <w:rPr>
          <w:rFonts w:hint="default"/>
          <w:lang w:eastAsia="zh-Hans"/>
        </w:rPr>
        <w:t>；Times New Roman</w:t>
      </w:r>
    </w:p>
    <w:p w14:paraId="02B970BF">
      <w:pPr>
        <w:pStyle w:val="4"/>
      </w:pPr>
      <w:r>
        <w:rPr>
          <w:rFonts w:hint="eastAsia"/>
        </w:rPr>
        <w:t>字号：三号</w:t>
      </w:r>
    </w:p>
    <w:p w14:paraId="1B214346">
      <w:pPr>
        <w:pStyle w:val="4"/>
      </w:pPr>
    </w:p>
  </w:comment>
  <w:comment w:id="3" w:author="编辑" w:date="2022-04-08T15:07:40Z" w:initials="编">
    <w:p w14:paraId="1F4D103E">
      <w:pPr>
        <w:pStyle w:val="4"/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空行一行</w:t>
      </w:r>
    </w:p>
  </w:comment>
  <w:comment w:id="4" w:author="编辑" w:date="2022-04-08T15:12:17Z" w:initials="编">
    <w:p w14:paraId="1C1139A1">
      <w:pPr>
        <w:pStyle w:val="4"/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空行一到三行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E781F54" w15:done="0"/>
  <w15:commentEx w15:paraId="3AF33D35" w15:done="0"/>
  <w15:commentEx w15:paraId="1B214346" w15:done="0"/>
  <w15:commentEx w15:paraId="1F4D103E" w15:done="0"/>
  <w15:commentEx w15:paraId="1C1139A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重庆市退役军人事务局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4384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wordWrap w:val="0"/>
      <w:jc w:val="center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                                                        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重庆市退役军人事务局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tabs>
        <w:tab w:val="left" w:pos="3429"/>
        <w:tab w:val="clear" w:pos="4153"/>
      </w:tabs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重庆市退役军人事务局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63360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重庆市退役军人事务局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编辑 [2]">
    <w15:presenceInfo w15:providerId="WPS Office" w15:userId="3509452811"/>
  </w15:person>
  <w15:person w15:author="编辑">
    <w15:presenceInfo w15:providerId="None" w15:userId="编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MDVhYjI4NTYxOGExOTFjMGQ0YTI3MjVlZGJhNDQifQ=="/>
  </w:docVars>
  <w:rsids>
    <w:rsidRoot w:val="00172A27"/>
    <w:rsid w:val="019E71BD"/>
    <w:rsid w:val="01D50A62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365F4C"/>
    <w:rsid w:val="1CF734C9"/>
    <w:rsid w:val="1CFE11EF"/>
    <w:rsid w:val="1DEC284C"/>
    <w:rsid w:val="1E6523AC"/>
    <w:rsid w:val="22440422"/>
    <w:rsid w:val="22BB4BBB"/>
    <w:rsid w:val="25A06E33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BE4C30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2">
    <w:name w:val="font01"/>
    <w:basedOn w:val="9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13">
    <w:name w:val=" Char"/>
    <w:basedOn w:val="1"/>
    <w:autoRedefine/>
    <w:semiHidden/>
    <w:qFormat/>
    <w:uiPriority w:val="0"/>
    <w:rPr>
      <w:szCs w:val="32"/>
    </w:rPr>
  </w:style>
  <w:style w:type="character" w:customStyle="1" w:styleId="14">
    <w:name w:val="font1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z</cp:lastModifiedBy>
  <cp:lastPrinted>2022-06-06T16:09:00Z</cp:lastPrinted>
  <dcterms:modified xsi:type="dcterms:W3CDTF">2024-01-22T08:25:49Z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22664DBF89AA4A07AA1320EF44AAB284_13</vt:lpwstr>
  </property>
</Properties>
</file>